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cs="宋体" w:asciiTheme="minorEastAsia" w:hAnsiTheme="minorEastAsia" w:eastAsiaTheme="minorEastAsia"/>
          <w:b/>
          <w:spacing w:val="-20"/>
          <w:sz w:val="32"/>
          <w:szCs w:val="32"/>
        </w:rPr>
        <w:t>《建筑节能与可再生能源利用通用规范》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标准解读宣贯讲座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328" w:tblpY="2995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联系人：王爔民 186-0059-2621（微信同步）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4F2367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63567D6"/>
    <w:rsid w:val="37235DA6"/>
    <w:rsid w:val="384F06F9"/>
    <w:rsid w:val="3A4B704C"/>
    <w:rsid w:val="41061B71"/>
    <w:rsid w:val="41536546"/>
    <w:rsid w:val="41F26E21"/>
    <w:rsid w:val="421E31ED"/>
    <w:rsid w:val="43356457"/>
    <w:rsid w:val="44C0427B"/>
    <w:rsid w:val="48592D5B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2022-03-21T02:58:43Z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